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F4AE3" w:rsidRDefault="000A2B0C">
      <w:pPr>
        <w:spacing w:line="240" w:lineRule="auto"/>
        <w:ind w:left="120"/>
      </w:pPr>
      <w:bookmarkStart w:id="0" w:name="_GoBack"/>
      <w:bookmarkEnd w:id="0"/>
      <w:r>
        <w:rPr>
          <w:rFonts w:ascii="Calibri" w:eastAsia="Calibri" w:hAnsi="Calibri" w:cs="Calibri"/>
          <w:b/>
          <w:sz w:val="24"/>
          <w:szCs w:val="24"/>
        </w:rPr>
        <w:t>Foothill College Student Equity Plan Proposal Selection Process</w:t>
      </w:r>
    </w:p>
    <w:p w:rsidR="00DF4AE3" w:rsidRDefault="000A2B0C">
      <w:pPr>
        <w:spacing w:before="60" w:line="240" w:lineRule="auto"/>
        <w:ind w:left="120" w:right="400"/>
      </w:pPr>
      <w:r>
        <w:rPr>
          <w:rFonts w:ascii="Calibri" w:eastAsia="Calibri" w:hAnsi="Calibri" w:cs="Calibri"/>
          <w:sz w:val="24"/>
          <w:szCs w:val="24"/>
        </w:rPr>
        <w:t>The Student Equity Workgroup welcomes innovative proposals that assist the college with meeting the benchmarks outlined in the Student Equity Plan which are aimed at reducing disproportionate impact for student groups. The Equity Workgroup will evaluate pr</w:t>
      </w:r>
      <w:r>
        <w:rPr>
          <w:rFonts w:ascii="Calibri" w:eastAsia="Calibri" w:hAnsi="Calibri" w:cs="Calibri"/>
          <w:sz w:val="24"/>
          <w:szCs w:val="24"/>
        </w:rPr>
        <w:t>oposals using the rubric below.</w:t>
      </w:r>
    </w:p>
    <w:p w:rsidR="00DF4AE3" w:rsidRDefault="00DF4AE3">
      <w:pPr>
        <w:spacing w:before="60" w:line="240" w:lineRule="auto"/>
        <w:ind w:left="120" w:right="400"/>
      </w:pPr>
    </w:p>
    <w:p w:rsidR="00DF4AE3" w:rsidRDefault="000A2B0C">
      <w:pPr>
        <w:spacing w:before="60"/>
        <w:ind w:left="120" w:right="400"/>
        <w:jc w:val="center"/>
      </w:pPr>
      <w:r>
        <w:rPr>
          <w:rFonts w:ascii="Calibri" w:eastAsia="Calibri" w:hAnsi="Calibri" w:cs="Calibri"/>
          <w:b/>
          <w:sz w:val="24"/>
          <w:szCs w:val="24"/>
        </w:rPr>
        <w:t>Foothill College Student Equity Plan Proposal Evaluation Rubric</w:t>
      </w:r>
    </w:p>
    <w:p w:rsidR="00DF4AE3" w:rsidRDefault="00DF4AE3">
      <w:pPr>
        <w:spacing w:before="60"/>
        <w:ind w:left="120" w:right="400"/>
        <w:jc w:val="center"/>
      </w:pPr>
    </w:p>
    <w:tbl>
      <w:tblPr>
        <w:tblStyle w:val="a"/>
        <w:tblW w:w="92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5"/>
        <w:gridCol w:w="2115"/>
      </w:tblGrid>
      <w:tr w:rsidR="00DF4AE3">
        <w:tc>
          <w:tcPr>
            <w:tcW w:w="7095" w:type="dxa"/>
            <w:tcMar>
              <w:top w:w="100" w:type="dxa"/>
              <w:left w:w="100" w:type="dxa"/>
              <w:bottom w:w="100" w:type="dxa"/>
              <w:right w:w="100" w:type="dxa"/>
            </w:tcMar>
          </w:tcPr>
          <w:p w:rsidR="00DF4AE3" w:rsidRDefault="000A2B0C">
            <w:pPr>
              <w:spacing w:line="240" w:lineRule="auto"/>
              <w:ind w:left="-120"/>
            </w:pPr>
            <w:r>
              <w:rPr>
                <w:rFonts w:ascii="Calibri" w:eastAsia="Calibri" w:hAnsi="Calibri" w:cs="Calibri"/>
              </w:rPr>
              <w:t xml:space="preserve">  1. Resource request is allowable under the </w:t>
            </w:r>
            <w:r>
              <w:rPr>
                <w:rFonts w:ascii="Calibri" w:eastAsia="Calibri" w:hAnsi="Calibri" w:cs="Calibri"/>
                <w:i/>
              </w:rPr>
              <w:t>Funding Guidelines from the State</w:t>
            </w:r>
          </w:p>
        </w:tc>
        <w:tc>
          <w:tcPr>
            <w:tcW w:w="2115" w:type="dxa"/>
            <w:tcMar>
              <w:top w:w="100" w:type="dxa"/>
              <w:left w:w="100" w:type="dxa"/>
              <w:bottom w:w="100" w:type="dxa"/>
              <w:right w:w="100" w:type="dxa"/>
            </w:tcMar>
          </w:tcPr>
          <w:p w:rsidR="00DF4AE3" w:rsidRDefault="000A2B0C">
            <w:pPr>
              <w:widowControl w:val="0"/>
              <w:spacing w:line="240" w:lineRule="auto"/>
            </w:pPr>
            <w:r>
              <w:rPr>
                <w:rFonts w:ascii="Calibri" w:eastAsia="Calibri" w:hAnsi="Calibri" w:cs="Calibri"/>
              </w:rPr>
              <w:t>Yes ____   No  _____</w:t>
            </w:r>
            <w:r>
              <w:rPr>
                <w:rFonts w:ascii="Calibri" w:eastAsia="Calibri" w:hAnsi="Calibri" w:cs="Calibri"/>
                <w:b/>
                <w:sz w:val="24"/>
                <w:szCs w:val="24"/>
              </w:rPr>
              <w:t xml:space="preserve">               </w:t>
            </w:r>
          </w:p>
        </w:tc>
      </w:tr>
    </w:tbl>
    <w:p w:rsidR="00DF4AE3" w:rsidRDefault="00DF4AE3">
      <w:pPr>
        <w:spacing w:line="240" w:lineRule="auto"/>
        <w:ind w:left="-120"/>
      </w:pPr>
    </w:p>
    <w:tbl>
      <w:tblPr>
        <w:tblStyle w:val="a0"/>
        <w:tblW w:w="9165"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45"/>
        <w:gridCol w:w="750"/>
        <w:gridCol w:w="375"/>
        <w:gridCol w:w="1020"/>
        <w:gridCol w:w="405"/>
        <w:gridCol w:w="915"/>
        <w:gridCol w:w="855"/>
      </w:tblGrid>
      <w:tr w:rsidR="00DF4AE3">
        <w:trPr>
          <w:trHeight w:val="112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ind w:left="-120"/>
              <w:jc w:val="center"/>
            </w:pPr>
            <w:r>
              <w:t xml:space="preserve"> </w:t>
            </w:r>
          </w:p>
          <w:p w:rsidR="00DF4AE3" w:rsidRDefault="000A2B0C">
            <w:pPr>
              <w:ind w:left="-120"/>
              <w:jc w:val="center"/>
            </w:pPr>
            <w:r>
              <w:rPr>
                <w:rFonts w:ascii="Calibri" w:eastAsia="Calibri" w:hAnsi="Calibri" w:cs="Calibri"/>
                <w:b/>
                <w:sz w:val="24"/>
                <w:szCs w:val="24"/>
              </w:rPr>
              <w:t>Criteria</w:t>
            </w:r>
          </w:p>
        </w:tc>
        <w:tc>
          <w:tcPr>
            <w:tcW w:w="7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ind w:left="-120"/>
              <w:jc w:val="center"/>
            </w:pPr>
            <w:r>
              <w:rPr>
                <w:rFonts w:ascii="Calibri" w:eastAsia="Calibri" w:hAnsi="Calibri" w:cs="Calibri"/>
                <w:b/>
                <w:sz w:val="18"/>
                <w:szCs w:val="18"/>
              </w:rPr>
              <w:t>5</w:t>
            </w:r>
          </w:p>
          <w:p w:rsidR="00DF4AE3" w:rsidRDefault="000A2B0C">
            <w:pPr>
              <w:ind w:left="-120"/>
              <w:jc w:val="center"/>
            </w:pPr>
            <w:r>
              <w:rPr>
                <w:rFonts w:ascii="Calibri" w:eastAsia="Calibri" w:hAnsi="Calibri" w:cs="Calibri"/>
                <w:sz w:val="18"/>
                <w:szCs w:val="18"/>
              </w:rPr>
              <w:t>Fully</w:t>
            </w:r>
          </w:p>
          <w:p w:rsidR="00DF4AE3" w:rsidRDefault="000A2B0C">
            <w:pPr>
              <w:ind w:left="-120"/>
              <w:jc w:val="center"/>
            </w:pPr>
            <w:r>
              <w:rPr>
                <w:rFonts w:ascii="Calibri" w:eastAsia="Calibri" w:hAnsi="Calibri" w:cs="Calibri"/>
                <w:sz w:val="18"/>
                <w:szCs w:val="18"/>
              </w:rPr>
              <w:t>satisfies criteria</w:t>
            </w:r>
          </w:p>
        </w:tc>
        <w:tc>
          <w:tcPr>
            <w:tcW w:w="3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ind w:left="-120"/>
              <w:jc w:val="center"/>
            </w:pPr>
            <w:r>
              <w:rPr>
                <w:rFonts w:ascii="Calibri" w:eastAsia="Calibri" w:hAnsi="Calibri" w:cs="Calibri"/>
                <w:b/>
                <w:sz w:val="18"/>
                <w:szCs w:val="18"/>
              </w:rPr>
              <w:t>4</w:t>
            </w:r>
          </w:p>
        </w:tc>
        <w:tc>
          <w:tcPr>
            <w:tcW w:w="10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ind w:left="-120"/>
              <w:jc w:val="center"/>
            </w:pPr>
            <w:r>
              <w:rPr>
                <w:rFonts w:ascii="Calibri" w:eastAsia="Calibri" w:hAnsi="Calibri" w:cs="Calibri"/>
                <w:b/>
                <w:sz w:val="18"/>
                <w:szCs w:val="18"/>
              </w:rPr>
              <w:t>3</w:t>
            </w:r>
          </w:p>
          <w:p w:rsidR="00DF4AE3" w:rsidRDefault="000A2B0C">
            <w:pPr>
              <w:ind w:left="-120"/>
              <w:jc w:val="center"/>
            </w:pPr>
            <w:r>
              <w:rPr>
                <w:rFonts w:ascii="Calibri" w:eastAsia="Calibri" w:hAnsi="Calibri" w:cs="Calibri"/>
                <w:sz w:val="18"/>
                <w:szCs w:val="18"/>
              </w:rPr>
              <w:t>Moderately satisfies criteria</w:t>
            </w:r>
          </w:p>
        </w:tc>
        <w:tc>
          <w:tcPr>
            <w:tcW w:w="4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ind w:left="-120"/>
              <w:jc w:val="center"/>
            </w:pPr>
            <w:r>
              <w:rPr>
                <w:rFonts w:ascii="Calibri" w:eastAsia="Calibri" w:hAnsi="Calibri" w:cs="Calibri"/>
                <w:b/>
                <w:sz w:val="18"/>
                <w:szCs w:val="18"/>
              </w:rPr>
              <w:t>2</w:t>
            </w:r>
          </w:p>
        </w:tc>
        <w:tc>
          <w:tcPr>
            <w:tcW w:w="9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ind w:left="-120"/>
              <w:jc w:val="center"/>
            </w:pPr>
            <w:r>
              <w:rPr>
                <w:rFonts w:ascii="Calibri" w:eastAsia="Calibri" w:hAnsi="Calibri" w:cs="Calibri"/>
                <w:b/>
                <w:sz w:val="18"/>
                <w:szCs w:val="18"/>
              </w:rPr>
              <w:t>1</w:t>
            </w:r>
          </w:p>
          <w:p w:rsidR="00DF4AE3" w:rsidRDefault="000A2B0C">
            <w:pPr>
              <w:ind w:left="-120"/>
              <w:jc w:val="center"/>
            </w:pPr>
            <w:r>
              <w:rPr>
                <w:rFonts w:ascii="Calibri" w:eastAsia="Calibri" w:hAnsi="Calibri" w:cs="Calibri"/>
                <w:sz w:val="18"/>
                <w:szCs w:val="18"/>
              </w:rPr>
              <w:t>Minimally satisfies criteria</w:t>
            </w:r>
          </w:p>
        </w:tc>
        <w:tc>
          <w:tcPr>
            <w:tcW w:w="8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ind w:left="-120"/>
              <w:jc w:val="center"/>
            </w:pPr>
            <w:r>
              <w:rPr>
                <w:rFonts w:ascii="Calibri" w:eastAsia="Calibri" w:hAnsi="Calibri" w:cs="Calibri"/>
                <w:b/>
                <w:sz w:val="18"/>
                <w:szCs w:val="18"/>
              </w:rPr>
              <w:t>0</w:t>
            </w:r>
          </w:p>
          <w:p w:rsidR="00DF4AE3" w:rsidRDefault="000A2B0C">
            <w:pPr>
              <w:ind w:left="-120"/>
              <w:jc w:val="center"/>
            </w:pPr>
            <w:r>
              <w:rPr>
                <w:rFonts w:ascii="Calibri" w:eastAsia="Calibri" w:hAnsi="Calibri" w:cs="Calibri"/>
                <w:sz w:val="18"/>
                <w:szCs w:val="18"/>
              </w:rPr>
              <w:t>Does not satisfy criteria</w:t>
            </w:r>
          </w:p>
        </w:tc>
      </w:tr>
      <w:tr w:rsidR="00DF4AE3">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line="240" w:lineRule="auto"/>
              <w:ind w:left="-120"/>
            </w:pPr>
            <w:r>
              <w:rPr>
                <w:rFonts w:ascii="Calibri" w:eastAsia="Calibri" w:hAnsi="Calibri" w:cs="Calibri"/>
                <w:sz w:val="20"/>
                <w:szCs w:val="20"/>
              </w:rPr>
              <w:t xml:space="preserve"> 2. Directly connects to one (or more) of the five SEP focus</w:t>
            </w:r>
          </w:p>
          <w:p w:rsidR="00DF4AE3" w:rsidRDefault="000A2B0C">
            <w:pPr>
              <w:spacing w:line="240" w:lineRule="auto"/>
              <w:ind w:left="-120"/>
            </w:pPr>
            <w:r>
              <w:rPr>
                <w:rFonts w:ascii="Calibri" w:eastAsia="Calibri" w:hAnsi="Calibri" w:cs="Calibri"/>
                <w:sz w:val="20"/>
                <w:szCs w:val="20"/>
              </w:rPr>
              <w:t xml:space="preserve">     areas</w:t>
            </w:r>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r w:rsidR="00DF4AE3">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line="240" w:lineRule="auto"/>
              <w:ind w:left="-120"/>
            </w:pPr>
            <w:r>
              <w:rPr>
                <w:rFonts w:ascii="Calibri" w:eastAsia="Calibri" w:hAnsi="Calibri" w:cs="Calibri"/>
                <w:sz w:val="20"/>
                <w:szCs w:val="20"/>
              </w:rPr>
              <w:t xml:space="preserve"> 3. Includes activities that are linked to minimizing </w:t>
            </w:r>
          </w:p>
          <w:p w:rsidR="00DF4AE3" w:rsidRDefault="000A2B0C">
            <w:pPr>
              <w:spacing w:line="240" w:lineRule="auto"/>
              <w:ind w:left="-120"/>
            </w:pPr>
            <w:r>
              <w:rPr>
                <w:rFonts w:ascii="Calibri" w:eastAsia="Calibri" w:hAnsi="Calibri" w:cs="Calibri"/>
                <w:sz w:val="20"/>
                <w:szCs w:val="20"/>
              </w:rPr>
              <w:t xml:space="preserve">     </w:t>
            </w:r>
            <w:proofErr w:type="gramStart"/>
            <w:r>
              <w:rPr>
                <w:rFonts w:ascii="Calibri" w:eastAsia="Calibri" w:hAnsi="Calibri" w:cs="Calibri"/>
                <w:sz w:val="20"/>
                <w:szCs w:val="20"/>
              </w:rPr>
              <w:t>disproportionate</w:t>
            </w:r>
            <w:proofErr w:type="gramEnd"/>
            <w:r>
              <w:rPr>
                <w:rFonts w:ascii="Calibri" w:eastAsia="Calibri" w:hAnsi="Calibri" w:cs="Calibri"/>
                <w:sz w:val="20"/>
                <w:szCs w:val="20"/>
              </w:rPr>
              <w:t xml:space="preserve"> impact identified in SEP. </w:t>
            </w:r>
            <w:r>
              <w:rPr>
                <w:rFonts w:ascii="Calibri" w:eastAsia="Calibri" w:hAnsi="Calibri" w:cs="Calibri"/>
                <w:b/>
                <w:sz w:val="20"/>
                <w:szCs w:val="20"/>
              </w:rPr>
              <w:t xml:space="preserve">  </w:t>
            </w:r>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r w:rsidR="00DF4AE3">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line="240" w:lineRule="auto"/>
              <w:ind w:left="-120"/>
            </w:pPr>
            <w:r>
              <w:rPr>
                <w:rFonts w:ascii="Calibri" w:eastAsia="Calibri" w:hAnsi="Calibri" w:cs="Calibri"/>
                <w:sz w:val="20"/>
                <w:szCs w:val="20"/>
              </w:rPr>
              <w:t xml:space="preserve"> 4. Explicitly connected to Educational Master Plan</w:t>
            </w:r>
          </w:p>
          <w:p w:rsidR="00DF4AE3" w:rsidRDefault="000A2B0C">
            <w:pPr>
              <w:spacing w:line="240" w:lineRule="auto"/>
              <w:ind w:left="-120"/>
            </w:pPr>
            <w:r>
              <w:rPr>
                <w:rFonts w:ascii="Calibri" w:eastAsia="Calibri" w:hAnsi="Calibri" w:cs="Calibri"/>
                <w:sz w:val="20"/>
                <w:szCs w:val="20"/>
              </w:rPr>
              <w:t xml:space="preserve">     Goals: </w:t>
            </w:r>
            <w:hyperlink r:id="rId4">
              <w:r>
                <w:rPr>
                  <w:rFonts w:ascii="Calibri" w:eastAsia="Calibri" w:hAnsi="Calibri" w:cs="Calibri"/>
                  <w:color w:val="1155CC"/>
                  <w:sz w:val="20"/>
                  <w:szCs w:val="20"/>
                  <w:u w:val="single"/>
                </w:rPr>
                <w:t>http://foothill.edu/president/parc/esmp/FH_EMP_2016-2022_final.pdf</w:t>
              </w:r>
            </w:hyperlink>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r w:rsidR="00DF4AE3">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before="120" w:line="240" w:lineRule="auto"/>
              <w:ind w:left="-120"/>
            </w:pPr>
            <w:r>
              <w:rPr>
                <w:rFonts w:ascii="Calibri" w:eastAsia="Calibri" w:hAnsi="Calibri" w:cs="Calibri"/>
                <w:sz w:val="20"/>
                <w:szCs w:val="20"/>
              </w:rPr>
              <w:t xml:space="preserve"> 5. Outlines plans for sustaining the activity.</w:t>
            </w:r>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r w:rsidR="00DF4AE3">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line="240" w:lineRule="auto"/>
              <w:ind w:left="-120"/>
            </w:pPr>
            <w:r>
              <w:rPr>
                <w:rFonts w:ascii="Calibri" w:eastAsia="Calibri" w:hAnsi="Calibri" w:cs="Calibri"/>
                <w:sz w:val="20"/>
                <w:szCs w:val="20"/>
              </w:rPr>
              <w:t xml:space="preserve"> 6. Proposal includes clear benchmarks for success.</w:t>
            </w:r>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r w:rsidR="00DF4AE3">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line="240" w:lineRule="auto"/>
              <w:ind w:left="-120"/>
            </w:pPr>
            <w:r>
              <w:rPr>
                <w:rFonts w:ascii="Calibri" w:eastAsia="Calibri" w:hAnsi="Calibri" w:cs="Calibri"/>
                <w:sz w:val="20"/>
                <w:szCs w:val="20"/>
              </w:rPr>
              <w:t xml:space="preserve"> 7. Proposal identifies best practice research.</w:t>
            </w:r>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r w:rsidR="00DF4AE3">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line="240" w:lineRule="auto"/>
              <w:ind w:left="-120"/>
            </w:pPr>
            <w:r>
              <w:rPr>
                <w:rFonts w:ascii="Calibri" w:eastAsia="Calibri" w:hAnsi="Calibri" w:cs="Calibri"/>
                <w:sz w:val="20"/>
                <w:szCs w:val="20"/>
              </w:rPr>
              <w:t xml:space="preserve"> 8. Proposal will impact both face-to-face and online </w:t>
            </w:r>
          </w:p>
          <w:p w:rsidR="00DF4AE3" w:rsidRDefault="000A2B0C">
            <w:pPr>
              <w:spacing w:line="240" w:lineRule="auto"/>
              <w:ind w:left="-120"/>
            </w:pPr>
            <w:r>
              <w:rPr>
                <w:rFonts w:ascii="Calibri" w:eastAsia="Calibri" w:hAnsi="Calibri" w:cs="Calibri"/>
                <w:sz w:val="20"/>
                <w:szCs w:val="20"/>
              </w:rPr>
              <w:t xml:space="preserve">      </w:t>
            </w:r>
            <w:proofErr w:type="gramStart"/>
            <w:r>
              <w:rPr>
                <w:rFonts w:ascii="Calibri" w:eastAsia="Calibri" w:hAnsi="Calibri" w:cs="Calibri"/>
                <w:sz w:val="20"/>
                <w:szCs w:val="20"/>
              </w:rPr>
              <w:t>students</w:t>
            </w:r>
            <w:proofErr w:type="gramEnd"/>
            <w:r>
              <w:rPr>
                <w:rFonts w:ascii="Calibri" w:eastAsia="Calibri" w:hAnsi="Calibri" w:cs="Calibri"/>
                <w:sz w:val="20"/>
                <w:szCs w:val="20"/>
              </w:rPr>
              <w:t>.</w:t>
            </w:r>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r w:rsidR="00DF4AE3">
        <w:trPr>
          <w:trHeight w:val="460"/>
        </w:trPr>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line="240" w:lineRule="auto"/>
              <w:ind w:left="-120"/>
            </w:pPr>
            <w:r>
              <w:rPr>
                <w:rFonts w:ascii="Calibri" w:eastAsia="Calibri" w:hAnsi="Calibri" w:cs="Calibri"/>
                <w:sz w:val="20"/>
                <w:szCs w:val="20"/>
              </w:rPr>
              <w:t xml:space="preserve"> 9.  Directly impacts &gt; 100 students</w:t>
            </w:r>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r w:rsidR="00DF4AE3">
        <w:tc>
          <w:tcPr>
            <w:tcW w:w="48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F4AE3" w:rsidRDefault="000A2B0C">
            <w:pPr>
              <w:spacing w:line="240" w:lineRule="auto"/>
              <w:ind w:left="-120"/>
            </w:pPr>
            <w:r>
              <w:rPr>
                <w:rFonts w:ascii="Calibri" w:eastAsia="Calibri" w:hAnsi="Calibri" w:cs="Calibri"/>
                <w:sz w:val="20"/>
                <w:szCs w:val="20"/>
              </w:rPr>
              <w:t xml:space="preserve"> 10. Includes learning objectives for participants.</w:t>
            </w:r>
          </w:p>
        </w:tc>
        <w:tc>
          <w:tcPr>
            <w:tcW w:w="75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37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1020"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40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91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c>
          <w:tcPr>
            <w:tcW w:w="855" w:type="dxa"/>
            <w:tcBorders>
              <w:bottom w:val="single" w:sz="8" w:space="0" w:color="000000"/>
              <w:right w:val="single" w:sz="8" w:space="0" w:color="000000"/>
            </w:tcBorders>
            <w:tcMar>
              <w:top w:w="100" w:type="dxa"/>
              <w:left w:w="100" w:type="dxa"/>
              <w:bottom w:w="100" w:type="dxa"/>
              <w:right w:w="100" w:type="dxa"/>
            </w:tcMar>
          </w:tcPr>
          <w:p w:rsidR="00DF4AE3" w:rsidRDefault="000A2B0C">
            <w:pPr>
              <w:ind w:left="-120"/>
            </w:pPr>
            <w:r>
              <w:t xml:space="preserve"> </w:t>
            </w:r>
          </w:p>
        </w:tc>
      </w:tr>
    </w:tbl>
    <w:p w:rsidR="00DF4AE3" w:rsidRDefault="000A2B0C">
      <w:r>
        <w:rPr>
          <w:rFonts w:ascii="Calibri" w:eastAsia="Calibri" w:hAnsi="Calibri" w:cs="Calibri"/>
          <w:b/>
          <w:sz w:val="20"/>
          <w:szCs w:val="20"/>
        </w:rPr>
        <w:t xml:space="preserve">  </w:t>
      </w:r>
    </w:p>
    <w:p w:rsidR="00DF4AE3" w:rsidRDefault="000A2B0C">
      <w:r>
        <w:rPr>
          <w:rFonts w:ascii="Calibri" w:eastAsia="Calibri" w:hAnsi="Calibri" w:cs="Calibri"/>
          <w:b/>
        </w:rPr>
        <w:t xml:space="preserve"> </w:t>
      </w:r>
      <w:r>
        <w:rPr>
          <w:rFonts w:ascii="Calibri" w:eastAsia="Calibri" w:hAnsi="Calibri" w:cs="Calibri"/>
          <w:b/>
          <w:sz w:val="24"/>
          <w:szCs w:val="24"/>
        </w:rPr>
        <w:t xml:space="preserve">Total </w:t>
      </w:r>
      <w:r>
        <w:rPr>
          <w:rFonts w:ascii="Calibri" w:eastAsia="Calibri" w:hAnsi="Calibri" w:cs="Calibri"/>
          <w:sz w:val="24"/>
          <w:szCs w:val="24"/>
        </w:rPr>
        <w:t>should be</w:t>
      </w:r>
      <w:r>
        <w:rPr>
          <w:rFonts w:ascii="Calibri" w:eastAsia="Calibri" w:hAnsi="Calibri" w:cs="Calibri"/>
          <w:b/>
          <w:sz w:val="24"/>
          <w:szCs w:val="24"/>
        </w:rPr>
        <w:t xml:space="preserve"> 20 or higher </w:t>
      </w:r>
      <w:r>
        <w:rPr>
          <w:rFonts w:ascii="Calibri" w:eastAsia="Calibri" w:hAnsi="Calibri" w:cs="Calibri"/>
          <w:sz w:val="24"/>
          <w:szCs w:val="24"/>
        </w:rPr>
        <w:t>to be considered for recommendation to the President</w:t>
      </w:r>
      <w:r>
        <w:rPr>
          <w:rFonts w:ascii="Calibri" w:eastAsia="Calibri" w:hAnsi="Calibri" w:cs="Calibri"/>
          <w:b/>
          <w:sz w:val="24"/>
          <w:szCs w:val="24"/>
        </w:rPr>
        <w:t>.</w:t>
      </w:r>
    </w:p>
    <w:p w:rsidR="00DF4AE3" w:rsidRDefault="000A2B0C">
      <w:pPr>
        <w:ind w:left="100"/>
      </w:pPr>
      <w:r>
        <w:rPr>
          <w:rFonts w:ascii="Calibri" w:eastAsia="Calibri" w:hAnsi="Calibri" w:cs="Calibri"/>
          <w:i/>
          <w:sz w:val="20"/>
          <w:szCs w:val="20"/>
        </w:rPr>
        <w:t xml:space="preserve">                                                                                                                                       Approved by SEW on </w:t>
      </w:r>
      <w:r>
        <w:rPr>
          <w:rFonts w:ascii="Calibri" w:eastAsia="Calibri" w:hAnsi="Calibri" w:cs="Calibri"/>
          <w:b/>
          <w:i/>
          <w:sz w:val="20"/>
          <w:szCs w:val="20"/>
        </w:rPr>
        <w:t>May 24, 2016</w:t>
      </w:r>
    </w:p>
    <w:sectPr w:rsidR="00DF4A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E3"/>
    <w:rsid w:val="000A2B0C"/>
    <w:rsid w:val="00DF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C0F00-AE57-4D6D-86DE-676A6486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oothill.edu/president/parc/esmp/FH_EMP_2016-202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Kelaiah</dc:creator>
  <cp:lastModifiedBy>FHDA</cp:lastModifiedBy>
  <cp:revision>2</cp:revision>
  <dcterms:created xsi:type="dcterms:W3CDTF">2016-06-27T18:06:00Z</dcterms:created>
  <dcterms:modified xsi:type="dcterms:W3CDTF">2016-06-27T18:06:00Z</dcterms:modified>
</cp:coreProperties>
</file>